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29" w:rsidRDefault="00500229" w:rsidP="00500229"/>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5B3D7"/>
        <w:tblLayout w:type="fixed"/>
        <w:tblCellMar>
          <w:top w:w="57" w:type="dxa"/>
          <w:bottom w:w="57" w:type="dxa"/>
        </w:tblCellMar>
        <w:tblLook w:val="01E0" w:firstRow="1" w:lastRow="1" w:firstColumn="1" w:lastColumn="1" w:noHBand="0" w:noVBand="0"/>
      </w:tblPr>
      <w:tblGrid>
        <w:gridCol w:w="8854"/>
      </w:tblGrid>
      <w:tr w:rsidR="00500229" w:rsidRPr="000F1402" w:rsidTr="00A63E13">
        <w:trPr>
          <w:jc w:val="center"/>
        </w:trPr>
        <w:tc>
          <w:tcPr>
            <w:tcW w:w="8854" w:type="dxa"/>
            <w:shd w:val="clear" w:color="auto" w:fill="95B3D7"/>
          </w:tcPr>
          <w:p w:rsidR="00500229" w:rsidRPr="000F1402" w:rsidRDefault="00500229" w:rsidP="00A63E13">
            <w:pPr>
              <w:pStyle w:val="Header"/>
              <w:jc w:val="center"/>
              <w:rPr>
                <w:rFonts w:cs="Arial"/>
                <w:b/>
                <w:sz w:val="28"/>
                <w:szCs w:val="28"/>
                <w:lang w:val="en-AU"/>
              </w:rPr>
            </w:pPr>
            <w:r>
              <w:rPr>
                <w:rFonts w:cs="Arial"/>
                <w:b/>
                <w:sz w:val="28"/>
                <w:szCs w:val="28"/>
                <w:lang w:val="en-AU"/>
              </w:rPr>
              <w:t>Policies and Procedures</w:t>
            </w:r>
          </w:p>
        </w:tc>
      </w:tr>
      <w:tr w:rsidR="00500229" w:rsidRPr="000F1402" w:rsidTr="00A63E13">
        <w:trPr>
          <w:trHeight w:val="1248"/>
          <w:jc w:val="center"/>
        </w:trPr>
        <w:tc>
          <w:tcPr>
            <w:tcW w:w="8854" w:type="dxa"/>
            <w:shd w:val="clear" w:color="auto" w:fill="95B3D7"/>
            <w:vAlign w:val="center"/>
          </w:tcPr>
          <w:p w:rsidR="00500229" w:rsidRPr="00E900BA" w:rsidRDefault="00500229" w:rsidP="00A63E13">
            <w:pPr>
              <w:pStyle w:val="Header"/>
              <w:tabs>
                <w:tab w:val="left" w:pos="2092"/>
              </w:tabs>
              <w:jc w:val="center"/>
              <w:rPr>
                <w:rFonts w:cs="Arial"/>
                <w:b/>
                <w:color w:val="FF0000"/>
                <w:sz w:val="40"/>
                <w:szCs w:val="40"/>
                <w:lang w:val="en-AU"/>
              </w:rPr>
            </w:pPr>
            <w:r w:rsidRPr="00E900BA">
              <w:rPr>
                <w:rFonts w:cs="Arial"/>
                <w:b/>
                <w:color w:val="FF0000"/>
                <w:sz w:val="40"/>
                <w:szCs w:val="40"/>
                <w:lang w:val="en-AU"/>
              </w:rPr>
              <w:t>Best Practice #2</w:t>
            </w:r>
          </w:p>
          <w:p w:rsidR="00500229" w:rsidRPr="000F1402" w:rsidRDefault="00500229" w:rsidP="00A63E13">
            <w:pPr>
              <w:pStyle w:val="Header"/>
              <w:tabs>
                <w:tab w:val="left" w:pos="2092"/>
              </w:tabs>
              <w:jc w:val="center"/>
              <w:rPr>
                <w:rFonts w:cs="Arial"/>
                <w:b/>
                <w:sz w:val="40"/>
                <w:szCs w:val="40"/>
                <w:lang w:val="en-AU"/>
              </w:rPr>
            </w:pPr>
            <w:r w:rsidRPr="00E900BA">
              <w:rPr>
                <w:rFonts w:cs="Arial"/>
                <w:b/>
                <w:color w:val="FF0000"/>
                <w:sz w:val="40"/>
                <w:szCs w:val="40"/>
                <w:lang w:val="en-AU"/>
              </w:rPr>
              <w:t>Escrow/Trust Accounting</w:t>
            </w:r>
          </w:p>
        </w:tc>
      </w:tr>
    </w:tbl>
    <w:p w:rsidR="00500229" w:rsidRPr="00F34AD0" w:rsidRDefault="00500229" w:rsidP="00500229">
      <w:pPr>
        <w:rPr>
          <w:rFonts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bottom w:w="142" w:type="dxa"/>
        </w:tblCellMar>
        <w:tblLook w:val="01E0" w:firstRow="1" w:lastRow="1" w:firstColumn="1" w:lastColumn="1" w:noHBand="0" w:noVBand="0"/>
      </w:tblPr>
      <w:tblGrid>
        <w:gridCol w:w="1743"/>
        <w:gridCol w:w="7133"/>
      </w:tblGrid>
      <w:tr w:rsidR="00500229" w:rsidRPr="00A50DA2" w:rsidTr="00A63E13">
        <w:trPr>
          <w:jc w:val="center"/>
        </w:trPr>
        <w:tc>
          <w:tcPr>
            <w:tcW w:w="1743" w:type="dxa"/>
            <w:shd w:val="clear" w:color="auto" w:fill="95B3D7"/>
          </w:tcPr>
          <w:p w:rsidR="00500229" w:rsidRPr="00A50DA2" w:rsidRDefault="00500229" w:rsidP="00A63E13">
            <w:pPr>
              <w:rPr>
                <w:rFonts w:cs="Arial"/>
                <w:b/>
                <w:sz w:val="22"/>
                <w:szCs w:val="22"/>
              </w:rPr>
            </w:pPr>
            <w:r>
              <w:rPr>
                <w:rFonts w:cs="Arial"/>
                <w:b/>
                <w:sz w:val="22"/>
                <w:szCs w:val="22"/>
              </w:rPr>
              <w:t>Purpose</w:t>
            </w:r>
          </w:p>
        </w:tc>
        <w:tc>
          <w:tcPr>
            <w:tcW w:w="7133" w:type="dxa"/>
          </w:tcPr>
          <w:p w:rsidR="00500229" w:rsidRPr="00DF16A6" w:rsidRDefault="00500229" w:rsidP="00A63E13">
            <w:pPr>
              <w:rPr>
                <w:rFonts w:cs="Arial"/>
                <w:sz w:val="22"/>
                <w:szCs w:val="22"/>
              </w:rPr>
            </w:pPr>
            <w:r>
              <w:rPr>
                <w:rFonts w:cs="Arial"/>
                <w:sz w:val="22"/>
                <w:szCs w:val="22"/>
              </w:rPr>
              <w:t>Document escrow/trust internal controls are in place to meet requirements for the safeguarding of client funds and to minimize the exposure to loss of client funds.</w:t>
            </w:r>
          </w:p>
        </w:tc>
      </w:tr>
      <w:tr w:rsidR="00500229" w:rsidRPr="00A50DA2" w:rsidTr="00A63E13">
        <w:trPr>
          <w:jc w:val="center"/>
        </w:trPr>
        <w:tc>
          <w:tcPr>
            <w:tcW w:w="1743" w:type="dxa"/>
            <w:shd w:val="clear" w:color="auto" w:fill="95B3D7"/>
          </w:tcPr>
          <w:p w:rsidR="00500229" w:rsidRPr="00A50DA2" w:rsidRDefault="00500229" w:rsidP="00A63E13">
            <w:pPr>
              <w:rPr>
                <w:rFonts w:cs="Arial"/>
                <w:b/>
                <w:sz w:val="22"/>
                <w:szCs w:val="22"/>
              </w:rPr>
            </w:pPr>
            <w:r w:rsidRPr="00A50DA2">
              <w:rPr>
                <w:rFonts w:cs="Arial"/>
                <w:b/>
                <w:sz w:val="22"/>
                <w:szCs w:val="22"/>
              </w:rPr>
              <w:t>Scope</w:t>
            </w:r>
          </w:p>
        </w:tc>
        <w:tc>
          <w:tcPr>
            <w:tcW w:w="7133" w:type="dxa"/>
          </w:tcPr>
          <w:p w:rsidR="00500229" w:rsidRPr="00DF16A6" w:rsidRDefault="00500229" w:rsidP="00A63E13">
            <w:pPr>
              <w:rPr>
                <w:rFonts w:cs="Arial"/>
                <w:color w:val="000000"/>
                <w:sz w:val="22"/>
                <w:szCs w:val="22"/>
              </w:rPr>
            </w:pPr>
            <w:r w:rsidRPr="00DF16A6">
              <w:rPr>
                <w:color w:val="000000"/>
                <w:sz w:val="22"/>
                <w:szCs w:val="22"/>
              </w:rPr>
              <w:t xml:space="preserve">These policies and procedures are for all of </w:t>
            </w:r>
            <w:r>
              <w:rPr>
                <w:color w:val="000000"/>
                <w:sz w:val="22"/>
                <w:szCs w:val="22"/>
              </w:rPr>
              <w:t>Platinum Title &amp; Escrow LLC</w:t>
            </w:r>
            <w:r w:rsidRPr="001333F5">
              <w:rPr>
                <w:color w:val="000000"/>
                <w:sz w:val="22"/>
                <w:szCs w:val="22"/>
              </w:rPr>
              <w:t xml:space="preserve"> (hereafter referred to as “The Company</w:t>
            </w:r>
            <w:r w:rsidRPr="00DF16A6">
              <w:rPr>
                <w:color w:val="000000"/>
                <w:sz w:val="22"/>
                <w:szCs w:val="22"/>
              </w:rPr>
              <w:t>”) locations including all satellite offices. These procedures are to be followed by all employees and independent contractors where applicable.</w:t>
            </w:r>
          </w:p>
        </w:tc>
      </w:tr>
      <w:tr w:rsidR="00500229" w:rsidRPr="00AA1777" w:rsidTr="00A63E13">
        <w:trPr>
          <w:trHeight w:val="1571"/>
          <w:jc w:val="center"/>
        </w:trPr>
        <w:tc>
          <w:tcPr>
            <w:tcW w:w="1743" w:type="dxa"/>
            <w:shd w:val="clear" w:color="auto" w:fill="95B3D7"/>
          </w:tcPr>
          <w:p w:rsidR="00500229" w:rsidRPr="00922DB3" w:rsidRDefault="00500229" w:rsidP="00A63E13">
            <w:pPr>
              <w:rPr>
                <w:rFonts w:cs="Arial"/>
                <w:b/>
                <w:sz w:val="22"/>
                <w:szCs w:val="22"/>
              </w:rPr>
            </w:pPr>
            <w:r w:rsidRPr="00922DB3">
              <w:rPr>
                <w:rFonts w:cs="Arial"/>
                <w:b/>
                <w:sz w:val="22"/>
                <w:szCs w:val="22"/>
              </w:rPr>
              <w:t>Procedure</w:t>
            </w:r>
            <w:r>
              <w:rPr>
                <w:rFonts w:cs="Arial"/>
                <w:b/>
                <w:sz w:val="22"/>
                <w:szCs w:val="22"/>
              </w:rPr>
              <w:t>s</w:t>
            </w:r>
          </w:p>
        </w:tc>
        <w:tc>
          <w:tcPr>
            <w:tcW w:w="7133" w:type="dxa"/>
          </w:tcPr>
          <w:p w:rsidR="00500229" w:rsidRPr="004A7498" w:rsidRDefault="00500229" w:rsidP="00A63E13">
            <w:pPr>
              <w:pStyle w:val="NoSpacing"/>
              <w:rPr>
                <w:rFonts w:ascii="Arial" w:hAnsi="Arial" w:cs="Arial"/>
                <w:b/>
                <w:sz w:val="20"/>
                <w:szCs w:val="20"/>
              </w:rPr>
            </w:pPr>
            <w:r w:rsidRPr="004A7498">
              <w:rPr>
                <w:rFonts w:ascii="Arial" w:hAnsi="Arial" w:cs="Arial"/>
                <w:b/>
                <w:sz w:val="20"/>
                <w:szCs w:val="20"/>
              </w:rPr>
              <w:t>Escrow funds and operating accounts are separately maintained.</w:t>
            </w:r>
          </w:p>
          <w:p w:rsidR="00500229" w:rsidRDefault="00500229" w:rsidP="00A63E13">
            <w:pPr>
              <w:pStyle w:val="NoSpacing"/>
              <w:rPr>
                <w:rFonts w:ascii="Arial" w:hAnsi="Arial" w:cs="Arial"/>
                <w:sz w:val="20"/>
                <w:szCs w:val="20"/>
                <w:u w:val="single"/>
              </w:rPr>
            </w:pPr>
          </w:p>
          <w:p w:rsidR="00500229" w:rsidRDefault="00500229" w:rsidP="00A63E13">
            <w:pPr>
              <w:pStyle w:val="NoSpacing"/>
              <w:rPr>
                <w:rFonts w:ascii="Arial" w:hAnsi="Arial" w:cs="Arial"/>
                <w:sz w:val="20"/>
                <w:szCs w:val="20"/>
              </w:rPr>
            </w:pPr>
            <w:r>
              <w:rPr>
                <w:rFonts w:ascii="Arial" w:hAnsi="Arial" w:cs="Arial"/>
                <w:sz w:val="20"/>
                <w:szCs w:val="20"/>
              </w:rPr>
              <w:t xml:space="preserve">The Company maintains two escrow trust accounts for real estate and mortgage loan transactions. Escrow/trust funds The Company maintains under a fiduciary capacity are not commingled with The Company’s operating funds or an employee or manager’s personal account.  </w:t>
            </w:r>
          </w:p>
          <w:p w:rsidR="00500229" w:rsidRPr="004A7498" w:rsidRDefault="00500229" w:rsidP="00A63E13">
            <w:pPr>
              <w:pStyle w:val="NoSpacing"/>
              <w:rPr>
                <w:rFonts w:ascii="Arial" w:hAnsi="Arial" w:cs="Arial"/>
                <w:i/>
                <w:sz w:val="20"/>
                <w:szCs w:val="20"/>
              </w:rPr>
            </w:pPr>
          </w:p>
          <w:p w:rsidR="00500229" w:rsidRPr="004A7498" w:rsidRDefault="00500229" w:rsidP="00A63E13">
            <w:pPr>
              <w:pStyle w:val="NoSpacing"/>
              <w:rPr>
                <w:rFonts w:ascii="Arial" w:hAnsi="Arial" w:cs="Arial"/>
                <w:b/>
                <w:sz w:val="20"/>
                <w:szCs w:val="20"/>
              </w:rPr>
            </w:pPr>
            <w:r>
              <w:rPr>
                <w:rFonts w:ascii="Arial" w:hAnsi="Arial" w:cs="Arial"/>
                <w:b/>
                <w:sz w:val="20"/>
                <w:szCs w:val="20"/>
              </w:rPr>
              <w:t>Escrow/</w:t>
            </w:r>
            <w:r w:rsidRPr="004A7498">
              <w:rPr>
                <w:rFonts w:ascii="Arial" w:hAnsi="Arial" w:cs="Arial"/>
                <w:b/>
                <w:sz w:val="20"/>
                <w:szCs w:val="20"/>
              </w:rPr>
              <w:t>T</w:t>
            </w:r>
            <w:r>
              <w:rPr>
                <w:rFonts w:ascii="Arial" w:hAnsi="Arial" w:cs="Arial"/>
                <w:b/>
                <w:sz w:val="20"/>
                <w:szCs w:val="20"/>
              </w:rPr>
              <w:t xml:space="preserve">rust Accounts </w:t>
            </w:r>
            <w:r w:rsidRPr="004A7498">
              <w:rPr>
                <w:rFonts w:ascii="Arial" w:hAnsi="Arial" w:cs="Arial"/>
                <w:b/>
                <w:sz w:val="20"/>
                <w:szCs w:val="20"/>
              </w:rPr>
              <w:t>Trial Balance Reports</w:t>
            </w:r>
            <w:r>
              <w:rPr>
                <w:rFonts w:ascii="Arial" w:hAnsi="Arial" w:cs="Arial"/>
                <w:b/>
                <w:sz w:val="20"/>
                <w:szCs w:val="20"/>
              </w:rPr>
              <w:t>.</w:t>
            </w:r>
          </w:p>
          <w:p w:rsidR="00500229" w:rsidRPr="004A7498" w:rsidRDefault="00500229" w:rsidP="00A63E13">
            <w:pPr>
              <w:pStyle w:val="NoSpacing"/>
              <w:rPr>
                <w:rFonts w:ascii="Arial" w:hAnsi="Arial" w:cs="Arial"/>
                <w:b/>
                <w:sz w:val="20"/>
                <w:szCs w:val="20"/>
              </w:rPr>
            </w:pPr>
          </w:p>
          <w:p w:rsidR="00500229" w:rsidRPr="004A7498" w:rsidRDefault="00500229" w:rsidP="00A63E13">
            <w:pPr>
              <w:pStyle w:val="NoSpacing"/>
              <w:rPr>
                <w:rFonts w:ascii="Arial" w:hAnsi="Arial" w:cs="Arial"/>
                <w:sz w:val="20"/>
                <w:szCs w:val="20"/>
              </w:rPr>
            </w:pPr>
            <w:r w:rsidRPr="004A7498">
              <w:rPr>
                <w:rFonts w:ascii="Arial" w:hAnsi="Arial" w:cs="Arial"/>
                <w:sz w:val="20"/>
                <w:szCs w:val="20"/>
              </w:rPr>
              <w:t xml:space="preserve">A trial balance report depicting the balance of a particular customer’s funds can be </w:t>
            </w:r>
            <w:r w:rsidRPr="00882F43">
              <w:rPr>
                <w:rFonts w:ascii="Arial" w:hAnsi="Arial" w:cs="Arial"/>
                <w:sz w:val="20"/>
                <w:szCs w:val="20"/>
              </w:rPr>
              <w:t>produced for each escrow/trust account at any time.  This report depicts all individual customer file balances that do not have a zero balance.  On a monthly basis, the Reconciliation Specialist reconciles the trial balance report to the bank balance and reconciled</w:t>
            </w:r>
            <w:r>
              <w:rPr>
                <w:rFonts w:ascii="Arial" w:hAnsi="Arial" w:cs="Arial"/>
                <w:sz w:val="20"/>
                <w:szCs w:val="20"/>
              </w:rPr>
              <w:t xml:space="preserve"> book balance, creating a “three way” reconciliation.</w:t>
            </w:r>
          </w:p>
          <w:p w:rsidR="00500229" w:rsidRPr="004A7498" w:rsidRDefault="00500229" w:rsidP="00A63E13">
            <w:pPr>
              <w:pStyle w:val="NoSpacing"/>
              <w:rPr>
                <w:rFonts w:ascii="Arial" w:hAnsi="Arial" w:cs="Arial"/>
                <w:i/>
                <w:sz w:val="20"/>
                <w:szCs w:val="20"/>
              </w:rPr>
            </w:pPr>
          </w:p>
          <w:p w:rsidR="00500229" w:rsidRPr="004A7498" w:rsidRDefault="00500229" w:rsidP="00A63E13">
            <w:pPr>
              <w:pStyle w:val="NoSpacing"/>
              <w:rPr>
                <w:rFonts w:ascii="Arial" w:hAnsi="Arial" w:cs="Arial"/>
                <w:b/>
                <w:sz w:val="20"/>
                <w:szCs w:val="20"/>
              </w:rPr>
            </w:pPr>
            <w:r w:rsidRPr="004A7498">
              <w:rPr>
                <w:rFonts w:ascii="Arial" w:hAnsi="Arial" w:cs="Arial"/>
                <w:b/>
                <w:sz w:val="20"/>
                <w:szCs w:val="20"/>
              </w:rPr>
              <w:t>Escr</w:t>
            </w:r>
            <w:r>
              <w:rPr>
                <w:rFonts w:ascii="Arial" w:hAnsi="Arial" w:cs="Arial"/>
                <w:b/>
                <w:sz w:val="20"/>
                <w:szCs w:val="20"/>
              </w:rPr>
              <w:t>ow/Trust Account Reconciliations</w:t>
            </w:r>
          </w:p>
          <w:p w:rsidR="00500229" w:rsidRDefault="00500229" w:rsidP="00A63E13">
            <w:pPr>
              <w:pStyle w:val="NoSpacing"/>
              <w:rPr>
                <w:rFonts w:ascii="Arial" w:hAnsi="Arial" w:cs="Arial"/>
                <w:i/>
                <w:sz w:val="20"/>
                <w:szCs w:val="20"/>
              </w:rPr>
            </w:pPr>
          </w:p>
          <w:p w:rsidR="00500229" w:rsidRPr="00882F43" w:rsidRDefault="00500229" w:rsidP="00A63E13">
            <w:pPr>
              <w:pStyle w:val="NoSpacing"/>
              <w:rPr>
                <w:rFonts w:ascii="Arial" w:hAnsi="Arial" w:cs="Arial"/>
                <w:sz w:val="20"/>
                <w:szCs w:val="20"/>
              </w:rPr>
            </w:pPr>
            <w:r>
              <w:rPr>
                <w:rFonts w:ascii="Arial" w:hAnsi="Arial" w:cs="Arial"/>
                <w:sz w:val="20"/>
                <w:szCs w:val="20"/>
              </w:rPr>
              <w:t xml:space="preserve">Monthly, a three-way reconciliation between the bank records, book records, and trial balance is performed.  This reconciliation is completed </w:t>
            </w:r>
            <w:r w:rsidRPr="00882F43">
              <w:rPr>
                <w:rFonts w:ascii="Arial" w:hAnsi="Arial" w:cs="Arial"/>
                <w:sz w:val="20"/>
                <w:szCs w:val="20"/>
              </w:rPr>
              <w:t>within the month the bank statement is received.</w:t>
            </w:r>
          </w:p>
          <w:p w:rsidR="00500229" w:rsidRDefault="00500229" w:rsidP="00A63E13">
            <w:pPr>
              <w:pStyle w:val="NoSpacing"/>
              <w:rPr>
                <w:rFonts w:ascii="Arial" w:hAnsi="Arial" w:cs="Arial"/>
                <w:sz w:val="20"/>
                <w:szCs w:val="20"/>
              </w:rPr>
            </w:pPr>
          </w:p>
          <w:p w:rsidR="00500229" w:rsidRDefault="00500229" w:rsidP="00A63E13">
            <w:pPr>
              <w:pStyle w:val="NoSpacing"/>
              <w:rPr>
                <w:rFonts w:ascii="Arial" w:hAnsi="Arial" w:cs="Arial"/>
                <w:sz w:val="20"/>
                <w:szCs w:val="20"/>
              </w:rPr>
            </w:pPr>
            <w:r>
              <w:rPr>
                <w:rFonts w:ascii="Arial" w:hAnsi="Arial" w:cs="Arial"/>
                <w:sz w:val="20"/>
                <w:szCs w:val="20"/>
              </w:rPr>
              <w:t>Escrow/trust account rec</w:t>
            </w:r>
            <w:r w:rsidR="00E900BA">
              <w:rPr>
                <w:rFonts w:ascii="Arial" w:hAnsi="Arial" w:cs="Arial"/>
                <w:sz w:val="20"/>
                <w:szCs w:val="20"/>
              </w:rPr>
              <w:t>onciliations are performed by the operations manager</w:t>
            </w:r>
            <w:r w:rsidRPr="00882F43">
              <w:rPr>
                <w:rFonts w:ascii="Arial" w:hAnsi="Arial" w:cs="Arial"/>
                <w:sz w:val="20"/>
                <w:szCs w:val="20"/>
              </w:rPr>
              <w:t xml:space="preserve"> who does not have check signing authority or</w:t>
            </w:r>
            <w:r>
              <w:rPr>
                <w:rFonts w:ascii="Arial" w:hAnsi="Arial" w:cs="Arial"/>
                <w:sz w:val="20"/>
                <w:szCs w:val="20"/>
              </w:rPr>
              <w:t xml:space="preserve"> the capability/authority to perform wire transfer transactions.</w:t>
            </w:r>
          </w:p>
          <w:p w:rsidR="00500229" w:rsidRDefault="00500229" w:rsidP="00A63E13">
            <w:pPr>
              <w:pStyle w:val="NoSpacing"/>
              <w:rPr>
                <w:rFonts w:ascii="Arial" w:hAnsi="Arial" w:cs="Arial"/>
                <w:sz w:val="20"/>
                <w:szCs w:val="20"/>
              </w:rPr>
            </w:pPr>
          </w:p>
          <w:p w:rsidR="00500229" w:rsidRDefault="00500229" w:rsidP="00A63E13">
            <w:pPr>
              <w:pStyle w:val="NoSpacing"/>
              <w:rPr>
                <w:rFonts w:ascii="Arial" w:hAnsi="Arial" w:cs="Arial"/>
                <w:sz w:val="20"/>
                <w:szCs w:val="20"/>
              </w:rPr>
            </w:pPr>
            <w:r>
              <w:rPr>
                <w:rFonts w:ascii="Arial" w:hAnsi="Arial" w:cs="Arial"/>
                <w:sz w:val="20"/>
                <w:szCs w:val="20"/>
              </w:rPr>
              <w:t>Each month escrow/trust account reconciliations are reviewed by Company management and evidence of the review is documented.  The escrow/trust account reconciliations are available to the title insurance underwriter at any time requested.</w:t>
            </w:r>
          </w:p>
          <w:p w:rsidR="00500229" w:rsidRDefault="00500229" w:rsidP="00A63E13">
            <w:pPr>
              <w:pStyle w:val="NoSpacing"/>
              <w:rPr>
                <w:rFonts w:ascii="Arial" w:hAnsi="Arial" w:cs="Arial"/>
                <w:sz w:val="20"/>
                <w:szCs w:val="20"/>
              </w:rPr>
            </w:pPr>
          </w:p>
          <w:p w:rsidR="00500229" w:rsidRDefault="00500229" w:rsidP="00A63E13">
            <w:pPr>
              <w:pStyle w:val="NoSpacing"/>
              <w:rPr>
                <w:rFonts w:ascii="Arial" w:hAnsi="Arial" w:cs="Arial"/>
                <w:sz w:val="20"/>
                <w:szCs w:val="20"/>
              </w:rPr>
            </w:pPr>
            <w:r>
              <w:rPr>
                <w:rFonts w:ascii="Arial" w:hAnsi="Arial" w:cs="Arial"/>
                <w:sz w:val="20"/>
                <w:szCs w:val="20"/>
              </w:rPr>
              <w:t xml:space="preserve">Escrow/trust account reconciling items are clearly noted on the reconciliations. These reconciling items are followed up and addressed </w:t>
            </w:r>
            <w:r w:rsidRPr="00882F43">
              <w:rPr>
                <w:rFonts w:ascii="Arial" w:hAnsi="Arial" w:cs="Arial"/>
                <w:sz w:val="20"/>
                <w:szCs w:val="20"/>
              </w:rPr>
              <w:t xml:space="preserve">by the </w:t>
            </w:r>
            <w:r w:rsidR="00E900BA">
              <w:rPr>
                <w:rFonts w:ascii="Arial" w:hAnsi="Arial" w:cs="Arial"/>
                <w:sz w:val="20"/>
                <w:szCs w:val="20"/>
              </w:rPr>
              <w:lastRenderedPageBreak/>
              <w:t>Manager</w:t>
            </w:r>
            <w:r w:rsidRPr="00882F43">
              <w:rPr>
                <w:rFonts w:ascii="Arial" w:hAnsi="Arial" w:cs="Arial"/>
                <w:sz w:val="20"/>
                <w:szCs w:val="20"/>
              </w:rPr>
              <w:t xml:space="preserve"> within</w:t>
            </w:r>
            <w:r>
              <w:rPr>
                <w:rFonts w:ascii="Arial" w:hAnsi="Arial" w:cs="Arial"/>
                <w:sz w:val="20"/>
                <w:szCs w:val="20"/>
              </w:rPr>
              <w:t xml:space="preserve"> a time manner in an attempt to eliminate carry over on the reconciliations from month to month.</w:t>
            </w:r>
          </w:p>
          <w:p w:rsidR="00500229" w:rsidRDefault="00500229" w:rsidP="00A63E13">
            <w:pPr>
              <w:pStyle w:val="NoSpacing"/>
              <w:rPr>
                <w:rFonts w:ascii="Arial" w:hAnsi="Arial" w:cs="Arial"/>
                <w:sz w:val="20"/>
                <w:szCs w:val="20"/>
              </w:rPr>
            </w:pPr>
            <w:r>
              <w:rPr>
                <w:rFonts w:ascii="Arial" w:hAnsi="Arial" w:cs="Arial"/>
                <w:sz w:val="20"/>
                <w:szCs w:val="20"/>
              </w:rPr>
              <w:t xml:space="preserve"> </w:t>
            </w:r>
          </w:p>
          <w:p w:rsidR="00500229" w:rsidRPr="004A7498" w:rsidRDefault="00500229" w:rsidP="00A63E13">
            <w:pPr>
              <w:pStyle w:val="NoSpacing"/>
              <w:rPr>
                <w:rFonts w:ascii="Arial" w:hAnsi="Arial" w:cs="Arial"/>
                <w:sz w:val="20"/>
                <w:szCs w:val="20"/>
              </w:rPr>
            </w:pPr>
          </w:p>
          <w:p w:rsidR="00500229" w:rsidRPr="004A7498" w:rsidRDefault="00500229" w:rsidP="00A63E13">
            <w:pPr>
              <w:pStyle w:val="NoSpacing"/>
              <w:rPr>
                <w:rFonts w:ascii="Arial" w:hAnsi="Arial" w:cs="Arial"/>
                <w:b/>
                <w:sz w:val="20"/>
                <w:szCs w:val="20"/>
              </w:rPr>
            </w:pPr>
            <w:r>
              <w:rPr>
                <w:rFonts w:ascii="Arial" w:hAnsi="Arial" w:cs="Arial"/>
                <w:b/>
                <w:sz w:val="20"/>
                <w:szCs w:val="20"/>
              </w:rPr>
              <w:t>Escrow/</w:t>
            </w:r>
            <w:r w:rsidRPr="004A7498">
              <w:rPr>
                <w:rFonts w:ascii="Arial" w:hAnsi="Arial" w:cs="Arial"/>
                <w:b/>
                <w:sz w:val="20"/>
                <w:szCs w:val="20"/>
              </w:rPr>
              <w:t xml:space="preserve">Trust Accounts are properly labeled </w:t>
            </w:r>
            <w:r>
              <w:rPr>
                <w:rFonts w:ascii="Arial" w:hAnsi="Arial" w:cs="Arial"/>
                <w:b/>
                <w:sz w:val="20"/>
                <w:szCs w:val="20"/>
              </w:rPr>
              <w:t>and maintained in</w:t>
            </w:r>
            <w:r w:rsidRPr="004A7498">
              <w:rPr>
                <w:rFonts w:ascii="Arial" w:hAnsi="Arial" w:cs="Arial"/>
                <w:b/>
                <w:sz w:val="20"/>
                <w:szCs w:val="20"/>
              </w:rPr>
              <w:t xml:space="preserve"> insured institutions.</w:t>
            </w:r>
          </w:p>
          <w:p w:rsidR="00500229" w:rsidRDefault="00500229" w:rsidP="00A63E13">
            <w:pPr>
              <w:pStyle w:val="NoSpacing"/>
              <w:rPr>
                <w:rFonts w:ascii="Arial" w:hAnsi="Arial" w:cs="Arial"/>
                <w:sz w:val="20"/>
                <w:szCs w:val="20"/>
              </w:rPr>
            </w:pPr>
          </w:p>
          <w:p w:rsidR="00500229" w:rsidRDefault="00500229" w:rsidP="00A63E13">
            <w:pPr>
              <w:pStyle w:val="NoSpacing"/>
              <w:rPr>
                <w:rFonts w:ascii="Arial" w:hAnsi="Arial" w:cs="Arial"/>
                <w:sz w:val="20"/>
                <w:szCs w:val="20"/>
              </w:rPr>
            </w:pPr>
            <w:r>
              <w:rPr>
                <w:rFonts w:ascii="Arial" w:hAnsi="Arial" w:cs="Arial"/>
                <w:sz w:val="20"/>
                <w:szCs w:val="20"/>
              </w:rPr>
              <w:t>Escrow/trust bank accounts are appropriately designated as “escrow” or “trust” accounts.  This designation is noted in the original banking agreements as well as on our check stock, deposit slips, and bank statements.  Unless mandated by state regulation or directed by a customer with a signed agreement, escrow/trust accounts are maintained with insured financial institutions.</w:t>
            </w:r>
          </w:p>
          <w:p w:rsidR="00500229" w:rsidRPr="004A7498" w:rsidRDefault="00500229" w:rsidP="00A63E13">
            <w:pPr>
              <w:pStyle w:val="NoSpacing"/>
              <w:rPr>
                <w:rFonts w:ascii="Arial" w:hAnsi="Arial" w:cs="Arial"/>
                <w:sz w:val="20"/>
                <w:szCs w:val="20"/>
              </w:rPr>
            </w:pPr>
          </w:p>
          <w:p w:rsidR="00500229" w:rsidRPr="004A7498" w:rsidRDefault="00500229" w:rsidP="00A63E13">
            <w:pPr>
              <w:pStyle w:val="NoSpacing"/>
              <w:rPr>
                <w:rFonts w:ascii="Arial" w:hAnsi="Arial" w:cs="Arial"/>
                <w:b/>
                <w:sz w:val="20"/>
                <w:szCs w:val="20"/>
              </w:rPr>
            </w:pPr>
            <w:r w:rsidRPr="004A7498">
              <w:rPr>
                <w:rFonts w:ascii="Arial" w:hAnsi="Arial" w:cs="Arial"/>
                <w:b/>
                <w:sz w:val="20"/>
                <w:szCs w:val="20"/>
              </w:rPr>
              <w:t>Dormant file balances</w:t>
            </w:r>
            <w:r>
              <w:rPr>
                <w:rFonts w:ascii="Arial" w:hAnsi="Arial" w:cs="Arial"/>
                <w:b/>
                <w:sz w:val="20"/>
                <w:szCs w:val="20"/>
              </w:rPr>
              <w:t>.</w:t>
            </w:r>
          </w:p>
          <w:p w:rsidR="00500229" w:rsidRDefault="00500229" w:rsidP="00A63E13">
            <w:pPr>
              <w:pStyle w:val="NoSpacing"/>
              <w:rPr>
                <w:rFonts w:ascii="Arial" w:hAnsi="Arial" w:cs="Arial"/>
                <w:b/>
                <w:sz w:val="20"/>
                <w:szCs w:val="20"/>
                <w:u w:val="single"/>
              </w:rPr>
            </w:pPr>
          </w:p>
          <w:p w:rsidR="00500229" w:rsidRDefault="00500229" w:rsidP="00A63E13">
            <w:pPr>
              <w:pStyle w:val="NoSpacing"/>
              <w:rPr>
                <w:rFonts w:ascii="Arial" w:hAnsi="Arial" w:cs="Arial"/>
                <w:sz w:val="20"/>
                <w:szCs w:val="20"/>
              </w:rPr>
            </w:pPr>
            <w:r>
              <w:rPr>
                <w:rFonts w:ascii="Arial" w:hAnsi="Arial" w:cs="Arial"/>
                <w:sz w:val="20"/>
                <w:szCs w:val="20"/>
              </w:rPr>
              <w:t xml:space="preserve">Customer files that continue to hold funds after the settlement date are reviewed periodically to determine if any disbursements have been made.  Management approval </w:t>
            </w:r>
            <w:r w:rsidRPr="00882F43">
              <w:rPr>
                <w:rFonts w:ascii="Arial" w:hAnsi="Arial" w:cs="Arial"/>
                <w:sz w:val="20"/>
                <w:szCs w:val="20"/>
              </w:rPr>
              <w:t>by individual department managers is required for any disbursement from an inactive escrow.  An inactive escrow is</w:t>
            </w:r>
            <w:r>
              <w:rPr>
                <w:rFonts w:ascii="Arial" w:hAnsi="Arial" w:cs="Arial"/>
                <w:sz w:val="20"/>
                <w:szCs w:val="20"/>
              </w:rPr>
              <w:t xml:space="preserve"> defined as any escrow which has had no activity for the past six months.  This approval is documented and maintained.  </w:t>
            </w:r>
          </w:p>
          <w:p w:rsidR="00500229" w:rsidRPr="004A7498" w:rsidRDefault="00500229" w:rsidP="00A63E13">
            <w:pPr>
              <w:pStyle w:val="NoSpacing"/>
              <w:rPr>
                <w:rFonts w:ascii="Arial" w:hAnsi="Arial" w:cs="Arial"/>
                <w:sz w:val="20"/>
                <w:szCs w:val="20"/>
              </w:rPr>
            </w:pPr>
          </w:p>
          <w:p w:rsidR="00500229" w:rsidRPr="004A7498" w:rsidRDefault="00500229" w:rsidP="00A63E13">
            <w:pPr>
              <w:pStyle w:val="NoSpacing"/>
              <w:rPr>
                <w:rFonts w:ascii="Arial" w:hAnsi="Arial" w:cs="Arial"/>
                <w:b/>
                <w:sz w:val="20"/>
                <w:szCs w:val="20"/>
              </w:rPr>
            </w:pPr>
            <w:r>
              <w:rPr>
                <w:rFonts w:ascii="Arial" w:hAnsi="Arial" w:cs="Arial"/>
                <w:b/>
                <w:sz w:val="20"/>
                <w:szCs w:val="20"/>
              </w:rPr>
              <w:t xml:space="preserve">Banking Transactions </w:t>
            </w:r>
            <w:r w:rsidRPr="004A7498">
              <w:rPr>
                <w:rFonts w:ascii="Arial" w:hAnsi="Arial" w:cs="Arial"/>
                <w:b/>
                <w:sz w:val="20"/>
                <w:szCs w:val="20"/>
              </w:rPr>
              <w:t>conducted by authorized employees.</w:t>
            </w:r>
          </w:p>
          <w:p w:rsidR="00500229" w:rsidRDefault="00500229" w:rsidP="00A63E13">
            <w:pPr>
              <w:pStyle w:val="NoSpacing"/>
              <w:rPr>
                <w:rFonts w:ascii="Arial" w:hAnsi="Arial" w:cs="Arial"/>
                <w:b/>
                <w:sz w:val="20"/>
                <w:szCs w:val="20"/>
                <w:u w:val="single"/>
              </w:rPr>
            </w:pPr>
          </w:p>
          <w:p w:rsidR="00500229" w:rsidRDefault="00500229" w:rsidP="00A63E13">
            <w:pPr>
              <w:pStyle w:val="NoSpacing"/>
              <w:rPr>
                <w:rFonts w:ascii="Arial" w:hAnsi="Arial" w:cs="Arial"/>
                <w:sz w:val="20"/>
                <w:szCs w:val="20"/>
              </w:rPr>
            </w:pPr>
            <w:r>
              <w:rPr>
                <w:rFonts w:ascii="Arial" w:hAnsi="Arial" w:cs="Arial"/>
                <w:sz w:val="20"/>
                <w:szCs w:val="20"/>
              </w:rPr>
              <w:t xml:space="preserve">Via agreements with financial institutions, The Company management authorizes employees for escrow/trust bank account transactions.  Wire transfer initiation and approval levels are set by The Company and reviewed for changes in staff routinely.  Former employees are immediately deleted as signatories and authorized wire transfer individuals.  A list of authorized individuals is maintained in the Escrow Account Information Report (see attached example).  The individual(s) designated as the ‘wire transfer administrator’ to set-up and change online banking permissions has been authorized by management.  </w:t>
            </w:r>
          </w:p>
          <w:p w:rsidR="00500229" w:rsidRDefault="00500229" w:rsidP="00A63E13">
            <w:pPr>
              <w:pStyle w:val="NoSpacing"/>
              <w:rPr>
                <w:rFonts w:ascii="Arial" w:hAnsi="Arial" w:cs="Arial"/>
                <w:sz w:val="20"/>
                <w:szCs w:val="20"/>
              </w:rPr>
            </w:pPr>
          </w:p>
          <w:p w:rsidR="00500229" w:rsidRDefault="00500229" w:rsidP="00A63E13">
            <w:pPr>
              <w:pStyle w:val="NoSpacing"/>
              <w:rPr>
                <w:rFonts w:ascii="Arial" w:hAnsi="Arial" w:cs="Arial"/>
                <w:sz w:val="20"/>
                <w:szCs w:val="20"/>
              </w:rPr>
            </w:pPr>
            <w:r>
              <w:rPr>
                <w:rFonts w:ascii="Arial" w:hAnsi="Arial" w:cs="Arial"/>
                <w:sz w:val="20"/>
                <w:szCs w:val="20"/>
              </w:rPr>
              <w:t>Authorized check signers and wire individuals do not maintain the escrow/trust accounting records or perform the escrow/trust account reconciliations.</w:t>
            </w:r>
          </w:p>
          <w:p w:rsidR="00500229" w:rsidRPr="004A7498" w:rsidRDefault="00500229" w:rsidP="00A63E13">
            <w:pPr>
              <w:pStyle w:val="NoSpacing"/>
              <w:rPr>
                <w:rFonts w:ascii="Arial" w:hAnsi="Arial" w:cs="Arial"/>
                <w:sz w:val="20"/>
                <w:szCs w:val="20"/>
              </w:rPr>
            </w:pPr>
          </w:p>
          <w:p w:rsidR="00500229" w:rsidRPr="004A7498" w:rsidRDefault="00500229" w:rsidP="00A63E13">
            <w:pPr>
              <w:pStyle w:val="NoSpacing"/>
              <w:rPr>
                <w:rFonts w:ascii="Arial" w:hAnsi="Arial" w:cs="Arial"/>
                <w:b/>
                <w:sz w:val="20"/>
                <w:szCs w:val="20"/>
              </w:rPr>
            </w:pPr>
            <w:r w:rsidRPr="004A7498">
              <w:rPr>
                <w:rFonts w:ascii="Arial" w:hAnsi="Arial" w:cs="Arial"/>
                <w:b/>
                <w:sz w:val="20"/>
                <w:szCs w:val="20"/>
              </w:rPr>
              <w:t>Positive pay, ACH Blocks, and international wire blocks are used</w:t>
            </w:r>
            <w:r>
              <w:rPr>
                <w:rFonts w:ascii="Arial" w:hAnsi="Arial" w:cs="Arial"/>
                <w:b/>
                <w:sz w:val="20"/>
                <w:szCs w:val="20"/>
              </w:rPr>
              <w:t>.</w:t>
            </w:r>
          </w:p>
          <w:p w:rsidR="00500229" w:rsidRPr="004A7498" w:rsidRDefault="00500229" w:rsidP="00A63E13">
            <w:pPr>
              <w:pStyle w:val="NoSpacing"/>
              <w:rPr>
                <w:rFonts w:ascii="Arial" w:hAnsi="Arial" w:cs="Arial"/>
                <w:b/>
                <w:sz w:val="20"/>
                <w:szCs w:val="20"/>
              </w:rPr>
            </w:pPr>
          </w:p>
          <w:p w:rsidR="00500229" w:rsidRDefault="00500229" w:rsidP="00A63E13">
            <w:pPr>
              <w:pStyle w:val="NoSpacing"/>
              <w:rPr>
                <w:rFonts w:ascii="Arial" w:hAnsi="Arial" w:cs="Arial"/>
                <w:sz w:val="20"/>
                <w:szCs w:val="20"/>
              </w:rPr>
            </w:pPr>
            <w:r>
              <w:rPr>
                <w:rFonts w:ascii="Arial" w:hAnsi="Arial" w:cs="Arial"/>
                <w:sz w:val="20"/>
                <w:szCs w:val="20"/>
              </w:rPr>
              <w:t xml:space="preserve">“Positive Pay” feature offered by our financial institutions is not used on the Company escrow/trust accounts.  </w:t>
            </w:r>
          </w:p>
          <w:p w:rsidR="00500229" w:rsidRDefault="00500229" w:rsidP="00A63E13">
            <w:pPr>
              <w:pStyle w:val="NoSpacing"/>
              <w:rPr>
                <w:rFonts w:ascii="Arial" w:hAnsi="Arial" w:cs="Arial"/>
                <w:sz w:val="20"/>
                <w:szCs w:val="20"/>
              </w:rPr>
            </w:pPr>
          </w:p>
          <w:p w:rsidR="00500229" w:rsidRDefault="00500229" w:rsidP="00A63E13">
            <w:pPr>
              <w:pStyle w:val="NoSpacing"/>
              <w:rPr>
                <w:rFonts w:ascii="Arial" w:hAnsi="Arial" w:cs="Arial"/>
                <w:sz w:val="20"/>
                <w:szCs w:val="20"/>
              </w:rPr>
            </w:pPr>
            <w:r>
              <w:rPr>
                <w:rFonts w:ascii="Arial" w:hAnsi="Arial" w:cs="Arial"/>
                <w:sz w:val="20"/>
                <w:szCs w:val="20"/>
              </w:rPr>
              <w:t>ACH blocks and international wire blocks are placed on all escrow/trust accounts to prevent unauthorized users from withdrawing funds from the escrow/trust account.</w:t>
            </w:r>
          </w:p>
          <w:p w:rsidR="00500229" w:rsidRPr="004A7498" w:rsidRDefault="00500229" w:rsidP="00A63E13">
            <w:pPr>
              <w:pStyle w:val="NoSpacing"/>
              <w:rPr>
                <w:rFonts w:ascii="Arial" w:hAnsi="Arial" w:cs="Arial"/>
                <w:sz w:val="20"/>
                <w:szCs w:val="20"/>
              </w:rPr>
            </w:pPr>
          </w:p>
          <w:p w:rsidR="00500229" w:rsidRPr="00500229" w:rsidRDefault="00500229" w:rsidP="00A63E13">
            <w:pPr>
              <w:pStyle w:val="NoSpacing"/>
              <w:rPr>
                <w:rFonts w:ascii="Arial" w:hAnsi="Arial" w:cs="Arial"/>
                <w:b/>
                <w:sz w:val="20"/>
                <w:szCs w:val="20"/>
              </w:rPr>
            </w:pPr>
            <w:r w:rsidRPr="00500229">
              <w:rPr>
                <w:rFonts w:ascii="Arial" w:hAnsi="Arial" w:cs="Arial"/>
                <w:b/>
                <w:sz w:val="20"/>
                <w:szCs w:val="20"/>
              </w:rPr>
              <w:t>Background checks.</w:t>
            </w:r>
          </w:p>
          <w:p w:rsidR="00500229" w:rsidRPr="00F30D4A" w:rsidRDefault="00500229" w:rsidP="00A63E13">
            <w:pPr>
              <w:pStyle w:val="NoSpacing"/>
              <w:rPr>
                <w:rFonts w:ascii="Arial" w:hAnsi="Arial" w:cs="Arial"/>
                <w:b/>
                <w:sz w:val="20"/>
                <w:szCs w:val="20"/>
                <w:highlight w:val="yellow"/>
              </w:rPr>
            </w:pPr>
          </w:p>
          <w:p w:rsidR="00500229" w:rsidRDefault="00500229" w:rsidP="00A63E13">
            <w:pPr>
              <w:pStyle w:val="NoSpacing"/>
              <w:rPr>
                <w:rFonts w:ascii="Arial" w:hAnsi="Arial" w:cs="Arial"/>
                <w:sz w:val="20"/>
                <w:szCs w:val="20"/>
              </w:rPr>
            </w:pPr>
            <w:r w:rsidRPr="00500229">
              <w:rPr>
                <w:rFonts w:ascii="Arial" w:hAnsi="Arial" w:cs="Arial"/>
                <w:sz w:val="20"/>
                <w:szCs w:val="20"/>
              </w:rPr>
              <w:t>Before an individual is hired, a background check (crim</w:t>
            </w:r>
            <w:r w:rsidR="007F79F5">
              <w:rPr>
                <w:rFonts w:ascii="Arial" w:hAnsi="Arial" w:cs="Arial"/>
                <w:sz w:val="20"/>
                <w:szCs w:val="20"/>
              </w:rPr>
              <w:t>inal and credit) is performed.</w:t>
            </w:r>
            <w:bookmarkStart w:id="0" w:name="_GoBack"/>
            <w:bookmarkEnd w:id="0"/>
            <w:r w:rsidRPr="00500229">
              <w:rPr>
                <w:rFonts w:ascii="Arial" w:hAnsi="Arial" w:cs="Arial"/>
                <w:sz w:val="20"/>
                <w:szCs w:val="20"/>
              </w:rPr>
              <w:t xml:space="preserve">  Every three years a background check (including criminal and credit) is performed on existing employees who have access to escrow/trust account funds.</w:t>
            </w:r>
            <w:r>
              <w:rPr>
                <w:rFonts w:ascii="Arial" w:hAnsi="Arial" w:cs="Arial"/>
                <w:sz w:val="20"/>
                <w:szCs w:val="20"/>
              </w:rPr>
              <w:t xml:space="preserve">  </w:t>
            </w:r>
          </w:p>
          <w:p w:rsidR="00500229" w:rsidRPr="004A7498" w:rsidRDefault="00500229" w:rsidP="00A63E13">
            <w:pPr>
              <w:pStyle w:val="NoSpacing"/>
              <w:rPr>
                <w:rFonts w:ascii="Arial" w:hAnsi="Arial" w:cs="Arial"/>
                <w:sz w:val="20"/>
                <w:szCs w:val="20"/>
              </w:rPr>
            </w:pPr>
          </w:p>
          <w:p w:rsidR="00500229" w:rsidRPr="004A7498" w:rsidRDefault="00500229" w:rsidP="00A63E13">
            <w:pPr>
              <w:pStyle w:val="NoSpacing"/>
              <w:rPr>
                <w:rFonts w:ascii="Arial" w:hAnsi="Arial" w:cs="Arial"/>
                <w:b/>
                <w:sz w:val="20"/>
                <w:szCs w:val="20"/>
              </w:rPr>
            </w:pPr>
            <w:r>
              <w:rPr>
                <w:rFonts w:ascii="Arial" w:hAnsi="Arial" w:cs="Arial"/>
                <w:b/>
                <w:sz w:val="20"/>
                <w:szCs w:val="20"/>
              </w:rPr>
              <w:t>Escrow/trust account training</w:t>
            </w:r>
            <w:r w:rsidRPr="004A7498">
              <w:rPr>
                <w:rFonts w:ascii="Arial" w:hAnsi="Arial" w:cs="Arial"/>
                <w:b/>
                <w:sz w:val="20"/>
                <w:szCs w:val="20"/>
              </w:rPr>
              <w:t>.</w:t>
            </w:r>
          </w:p>
          <w:p w:rsidR="00500229" w:rsidRPr="004A7498" w:rsidRDefault="00500229" w:rsidP="00A63E13">
            <w:pPr>
              <w:pStyle w:val="NoSpacing"/>
              <w:rPr>
                <w:rFonts w:ascii="Arial" w:hAnsi="Arial" w:cs="Arial"/>
                <w:b/>
                <w:sz w:val="20"/>
                <w:szCs w:val="20"/>
              </w:rPr>
            </w:pPr>
          </w:p>
          <w:p w:rsidR="00500229" w:rsidRPr="00882F43" w:rsidRDefault="00500229" w:rsidP="00A63E13">
            <w:pPr>
              <w:pStyle w:val="NoSpacing"/>
              <w:rPr>
                <w:rFonts w:ascii="Arial" w:hAnsi="Arial" w:cs="Arial"/>
                <w:sz w:val="20"/>
                <w:szCs w:val="20"/>
              </w:rPr>
            </w:pPr>
            <w:r w:rsidRPr="00882F43">
              <w:rPr>
                <w:rFonts w:ascii="Arial" w:hAnsi="Arial" w:cs="Arial"/>
                <w:sz w:val="20"/>
                <w:szCs w:val="20"/>
              </w:rPr>
              <w:t xml:space="preserve">The Company provides escrow/trust account training when first hired and as necessary at weekly office meetings to individuals handling customer funds and conducting escrow/trust account reconciliations.  This training is conducted by individual department managers  </w:t>
            </w:r>
          </w:p>
          <w:p w:rsidR="00500229" w:rsidRPr="00314E89" w:rsidRDefault="00500229" w:rsidP="00A63E13">
            <w:pPr>
              <w:pStyle w:val="NoSpacing"/>
              <w:rPr>
                <w:rFonts w:ascii="Arial" w:hAnsi="Arial" w:cs="Arial"/>
                <w:sz w:val="20"/>
                <w:szCs w:val="20"/>
              </w:rPr>
            </w:pPr>
          </w:p>
        </w:tc>
      </w:tr>
    </w:tbl>
    <w:p w:rsidR="00500229" w:rsidRPr="00816331" w:rsidRDefault="00500229" w:rsidP="00500229">
      <w:pPr>
        <w:rPr>
          <w:rFonts w:cs="Arial"/>
          <w:lang w:val="en-AU"/>
        </w:rPr>
      </w:pPr>
    </w:p>
    <w:tbl>
      <w:tblPr>
        <w:tblW w:w="88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1E0" w:firstRow="1" w:lastRow="1" w:firstColumn="1" w:lastColumn="1" w:noHBand="0" w:noVBand="0"/>
      </w:tblPr>
      <w:tblGrid>
        <w:gridCol w:w="1781"/>
        <w:gridCol w:w="7100"/>
      </w:tblGrid>
      <w:tr w:rsidR="00500229" w:rsidRPr="00A50DA2" w:rsidTr="00A63E13">
        <w:trPr>
          <w:jc w:val="center"/>
        </w:trPr>
        <w:tc>
          <w:tcPr>
            <w:tcW w:w="1781" w:type="dxa"/>
            <w:shd w:val="clear" w:color="auto" w:fill="95B3D7"/>
          </w:tcPr>
          <w:p w:rsidR="00500229" w:rsidRPr="000F1402" w:rsidRDefault="00500229" w:rsidP="00A63E13">
            <w:pPr>
              <w:pStyle w:val="Header"/>
              <w:rPr>
                <w:rFonts w:cs="Arial"/>
                <w:b/>
                <w:noProof/>
                <w:sz w:val="28"/>
                <w:szCs w:val="28"/>
              </w:rPr>
            </w:pPr>
            <w:r w:rsidRPr="000F1402">
              <w:rPr>
                <w:rFonts w:cs="Arial"/>
                <w:b/>
                <w:sz w:val="22"/>
                <w:szCs w:val="22"/>
              </w:rPr>
              <w:t>Contact Officer</w:t>
            </w:r>
          </w:p>
        </w:tc>
        <w:tc>
          <w:tcPr>
            <w:tcW w:w="7100" w:type="dxa"/>
          </w:tcPr>
          <w:p w:rsidR="00500229" w:rsidRPr="000F1402" w:rsidRDefault="00500229" w:rsidP="00A63E13">
            <w:pPr>
              <w:pStyle w:val="Header"/>
              <w:rPr>
                <w:rFonts w:cs="Arial"/>
                <w:b/>
                <w:sz w:val="28"/>
                <w:szCs w:val="28"/>
                <w:lang w:val="en-AU"/>
              </w:rPr>
            </w:pPr>
            <w:r>
              <w:rPr>
                <w:rFonts w:cs="Arial"/>
                <w:i/>
                <w:sz w:val="22"/>
                <w:szCs w:val="22"/>
              </w:rPr>
              <w:t>Jane McDaniel</w:t>
            </w:r>
          </w:p>
        </w:tc>
      </w:tr>
      <w:tr w:rsidR="00500229" w:rsidRPr="00A50DA2" w:rsidTr="00A63E13">
        <w:trPr>
          <w:jc w:val="center"/>
        </w:trPr>
        <w:tc>
          <w:tcPr>
            <w:tcW w:w="1781" w:type="dxa"/>
            <w:shd w:val="clear" w:color="auto" w:fill="95B3D7"/>
          </w:tcPr>
          <w:p w:rsidR="00500229" w:rsidRPr="00A50DA2" w:rsidRDefault="00500229" w:rsidP="00A63E13">
            <w:pPr>
              <w:rPr>
                <w:rFonts w:cs="Arial"/>
                <w:sz w:val="22"/>
                <w:szCs w:val="22"/>
              </w:rPr>
            </w:pPr>
            <w:r w:rsidRPr="00A50DA2">
              <w:rPr>
                <w:rFonts w:cs="Arial"/>
                <w:b/>
                <w:sz w:val="22"/>
                <w:szCs w:val="22"/>
              </w:rPr>
              <w:t>Date Approved</w:t>
            </w:r>
          </w:p>
        </w:tc>
        <w:tc>
          <w:tcPr>
            <w:tcW w:w="7100" w:type="dxa"/>
          </w:tcPr>
          <w:p w:rsidR="00500229" w:rsidRPr="00F34AD0" w:rsidRDefault="00500229" w:rsidP="00A63E13">
            <w:pPr>
              <w:rPr>
                <w:rFonts w:cs="Arial"/>
                <w:i/>
                <w:sz w:val="22"/>
                <w:szCs w:val="22"/>
              </w:rPr>
            </w:pPr>
            <w:r>
              <w:rPr>
                <w:rFonts w:cs="Arial"/>
                <w:i/>
                <w:sz w:val="22"/>
                <w:szCs w:val="22"/>
              </w:rPr>
              <w:t>10/01/2016</w:t>
            </w:r>
          </w:p>
        </w:tc>
      </w:tr>
      <w:tr w:rsidR="00500229" w:rsidRPr="00A50DA2" w:rsidTr="00A63E13">
        <w:trPr>
          <w:jc w:val="center"/>
        </w:trPr>
        <w:tc>
          <w:tcPr>
            <w:tcW w:w="1781" w:type="dxa"/>
            <w:shd w:val="clear" w:color="auto" w:fill="95B3D7"/>
          </w:tcPr>
          <w:p w:rsidR="00500229" w:rsidRPr="00A50DA2" w:rsidRDefault="00500229" w:rsidP="00A63E13">
            <w:pPr>
              <w:rPr>
                <w:rFonts w:cs="Arial"/>
                <w:b/>
                <w:sz w:val="22"/>
                <w:szCs w:val="22"/>
              </w:rPr>
            </w:pPr>
            <w:r w:rsidRPr="00A50DA2">
              <w:rPr>
                <w:rFonts w:cs="Arial"/>
                <w:b/>
                <w:sz w:val="22"/>
                <w:szCs w:val="22"/>
              </w:rPr>
              <w:t>Date of Commencement</w:t>
            </w:r>
          </w:p>
        </w:tc>
        <w:tc>
          <w:tcPr>
            <w:tcW w:w="7100" w:type="dxa"/>
          </w:tcPr>
          <w:p w:rsidR="00500229" w:rsidRPr="00F34AD0" w:rsidRDefault="00500229" w:rsidP="00A63E13">
            <w:pPr>
              <w:rPr>
                <w:rFonts w:cs="Arial"/>
                <w:i/>
                <w:sz w:val="22"/>
                <w:szCs w:val="22"/>
              </w:rPr>
            </w:pPr>
            <w:r w:rsidRPr="00F34AD0">
              <w:rPr>
                <w:rFonts w:cs="Arial"/>
                <w:i/>
                <w:sz w:val="22"/>
                <w:szCs w:val="22"/>
              </w:rPr>
              <w:t>Day Month Year</w:t>
            </w:r>
          </w:p>
        </w:tc>
      </w:tr>
      <w:tr w:rsidR="00500229" w:rsidRPr="00A50DA2" w:rsidTr="00A63E13">
        <w:trPr>
          <w:jc w:val="center"/>
        </w:trPr>
        <w:tc>
          <w:tcPr>
            <w:tcW w:w="1781" w:type="dxa"/>
            <w:shd w:val="clear" w:color="auto" w:fill="95B3D7"/>
          </w:tcPr>
          <w:p w:rsidR="00500229" w:rsidRPr="00A50DA2" w:rsidRDefault="00500229" w:rsidP="00A63E13">
            <w:pPr>
              <w:rPr>
                <w:rFonts w:cs="Arial"/>
                <w:sz w:val="22"/>
                <w:szCs w:val="22"/>
              </w:rPr>
            </w:pPr>
            <w:r w:rsidRPr="00A50DA2">
              <w:rPr>
                <w:rFonts w:cs="Arial"/>
                <w:b/>
                <w:sz w:val="22"/>
                <w:szCs w:val="22"/>
              </w:rPr>
              <w:t>Amendment Dates</w:t>
            </w:r>
          </w:p>
        </w:tc>
        <w:tc>
          <w:tcPr>
            <w:tcW w:w="7100" w:type="dxa"/>
          </w:tcPr>
          <w:p w:rsidR="00500229" w:rsidRPr="00F34AD0" w:rsidRDefault="00500229" w:rsidP="00A63E13">
            <w:pPr>
              <w:rPr>
                <w:rFonts w:cs="Arial"/>
                <w:i/>
                <w:sz w:val="22"/>
                <w:szCs w:val="22"/>
              </w:rPr>
            </w:pPr>
            <w:r w:rsidRPr="00F34AD0">
              <w:rPr>
                <w:rFonts w:cs="Arial"/>
                <w:i/>
                <w:sz w:val="22"/>
                <w:szCs w:val="22"/>
              </w:rPr>
              <w:t>List the dates the policy has been amended (Day Month Year)</w:t>
            </w:r>
          </w:p>
        </w:tc>
      </w:tr>
      <w:tr w:rsidR="00500229" w:rsidRPr="00A50DA2" w:rsidTr="00A63E13">
        <w:trPr>
          <w:jc w:val="center"/>
        </w:trPr>
        <w:tc>
          <w:tcPr>
            <w:tcW w:w="1781" w:type="dxa"/>
            <w:shd w:val="clear" w:color="auto" w:fill="95B3D7"/>
          </w:tcPr>
          <w:p w:rsidR="00500229" w:rsidRPr="00A50DA2" w:rsidRDefault="00500229" w:rsidP="00A63E13">
            <w:pPr>
              <w:rPr>
                <w:rFonts w:cs="Arial"/>
                <w:sz w:val="22"/>
                <w:szCs w:val="22"/>
              </w:rPr>
            </w:pPr>
            <w:r w:rsidRPr="00A50DA2">
              <w:rPr>
                <w:rFonts w:cs="Arial"/>
                <w:b/>
                <w:sz w:val="22"/>
                <w:szCs w:val="22"/>
              </w:rPr>
              <w:t>Date for Next Review</w:t>
            </w:r>
          </w:p>
        </w:tc>
        <w:tc>
          <w:tcPr>
            <w:tcW w:w="7100" w:type="dxa"/>
          </w:tcPr>
          <w:p w:rsidR="00500229" w:rsidRPr="00F34AD0" w:rsidRDefault="00500229" w:rsidP="00A63E13">
            <w:pPr>
              <w:rPr>
                <w:rFonts w:cs="Arial"/>
                <w:i/>
                <w:sz w:val="22"/>
                <w:szCs w:val="22"/>
              </w:rPr>
            </w:pPr>
            <w:r>
              <w:rPr>
                <w:rFonts w:cs="Arial"/>
                <w:i/>
                <w:sz w:val="22"/>
                <w:szCs w:val="22"/>
              </w:rPr>
              <w:t>October 1, 2017</w:t>
            </w:r>
          </w:p>
        </w:tc>
      </w:tr>
      <w:tr w:rsidR="00500229" w:rsidRPr="00A50DA2" w:rsidTr="00A63E13">
        <w:trPr>
          <w:jc w:val="center"/>
        </w:trPr>
        <w:tc>
          <w:tcPr>
            <w:tcW w:w="1781" w:type="dxa"/>
            <w:shd w:val="clear" w:color="auto" w:fill="95B3D7"/>
          </w:tcPr>
          <w:p w:rsidR="00500229" w:rsidRPr="00A50DA2" w:rsidRDefault="00500229" w:rsidP="00A63E13">
            <w:pPr>
              <w:rPr>
                <w:rFonts w:cs="Arial"/>
                <w:b/>
                <w:sz w:val="22"/>
                <w:szCs w:val="22"/>
              </w:rPr>
            </w:pPr>
            <w:r>
              <w:rPr>
                <w:rFonts w:cs="Arial"/>
                <w:b/>
                <w:sz w:val="22"/>
                <w:szCs w:val="22"/>
              </w:rPr>
              <w:t>Related References and Links</w:t>
            </w:r>
          </w:p>
        </w:tc>
        <w:tc>
          <w:tcPr>
            <w:tcW w:w="7100" w:type="dxa"/>
          </w:tcPr>
          <w:p w:rsidR="00500229" w:rsidRDefault="00500229" w:rsidP="00A63E13">
            <w:pPr>
              <w:numPr>
                <w:ilvl w:val="0"/>
                <w:numId w:val="1"/>
              </w:numPr>
              <w:rPr>
                <w:rFonts w:cs="Arial"/>
                <w:i/>
                <w:sz w:val="22"/>
                <w:szCs w:val="22"/>
              </w:rPr>
            </w:pPr>
            <w:r>
              <w:rPr>
                <w:rFonts w:cs="Arial"/>
                <w:i/>
                <w:sz w:val="22"/>
                <w:szCs w:val="22"/>
              </w:rPr>
              <w:t xml:space="preserve">Disbursement information is in </w:t>
            </w:r>
            <w:proofErr w:type="spellStart"/>
            <w:r>
              <w:rPr>
                <w:rFonts w:cs="Arial"/>
                <w:i/>
                <w:sz w:val="22"/>
                <w:szCs w:val="22"/>
              </w:rPr>
              <w:t>Ramquest</w:t>
            </w:r>
            <w:proofErr w:type="spellEnd"/>
            <w:r>
              <w:rPr>
                <w:rFonts w:cs="Arial"/>
                <w:i/>
                <w:sz w:val="22"/>
                <w:szCs w:val="22"/>
              </w:rPr>
              <w:t xml:space="preserve"> Operating System</w:t>
            </w:r>
          </w:p>
          <w:p w:rsidR="00500229" w:rsidRDefault="00500229" w:rsidP="00A63E13">
            <w:pPr>
              <w:numPr>
                <w:ilvl w:val="0"/>
                <w:numId w:val="1"/>
              </w:numPr>
              <w:rPr>
                <w:rFonts w:cs="Arial"/>
                <w:i/>
                <w:sz w:val="22"/>
                <w:szCs w:val="22"/>
              </w:rPr>
            </w:pPr>
            <w:r>
              <w:rPr>
                <w:rFonts w:cs="Arial"/>
                <w:i/>
                <w:sz w:val="22"/>
                <w:szCs w:val="22"/>
              </w:rPr>
              <w:t>Individual Managers have the account statements</w:t>
            </w:r>
          </w:p>
          <w:p w:rsidR="00500229" w:rsidRDefault="00500229" w:rsidP="00A63E13">
            <w:pPr>
              <w:numPr>
                <w:ilvl w:val="0"/>
                <w:numId w:val="1"/>
              </w:numPr>
              <w:rPr>
                <w:rFonts w:cs="Arial"/>
                <w:i/>
                <w:sz w:val="22"/>
                <w:szCs w:val="22"/>
              </w:rPr>
            </w:pPr>
            <w:r>
              <w:rPr>
                <w:rFonts w:cs="Arial"/>
                <w:i/>
                <w:sz w:val="22"/>
                <w:szCs w:val="22"/>
              </w:rPr>
              <w:t xml:space="preserve">NE Escrow Conditions </w:t>
            </w:r>
            <w:hyperlink r:id="rId8" w:history="1">
              <w:r>
                <w:rPr>
                  <w:rStyle w:val="Hyperlink"/>
                  <w:rFonts w:cs="Arial"/>
                  <w:i/>
                  <w:sz w:val="22"/>
                  <w:szCs w:val="22"/>
                </w:rPr>
                <w:t>http://uniweb.legislature.ne.gov/laws/statutes.php?statute=44-1994</w:t>
              </w:r>
            </w:hyperlink>
          </w:p>
          <w:p w:rsidR="00500229" w:rsidRPr="002B45D2" w:rsidRDefault="00500229" w:rsidP="00A63E13">
            <w:pPr>
              <w:ind w:left="720"/>
              <w:rPr>
                <w:rFonts w:cs="Arial"/>
                <w:i/>
                <w:sz w:val="22"/>
                <w:szCs w:val="22"/>
                <w:highlight w:val="yellow"/>
              </w:rPr>
            </w:pPr>
          </w:p>
          <w:p w:rsidR="00500229" w:rsidRPr="007F521B" w:rsidRDefault="00500229" w:rsidP="00A63E13">
            <w:pPr>
              <w:ind w:left="1192"/>
              <w:rPr>
                <w:rFonts w:cs="Arial"/>
                <w:i/>
                <w:sz w:val="22"/>
                <w:szCs w:val="22"/>
              </w:rPr>
            </w:pPr>
          </w:p>
        </w:tc>
      </w:tr>
    </w:tbl>
    <w:p w:rsidR="00500229" w:rsidRDefault="00500229" w:rsidP="00500229"/>
    <w:p w:rsidR="00335363" w:rsidRPr="00500229" w:rsidRDefault="00335363" w:rsidP="00500229">
      <w:pPr>
        <w:ind w:firstLine="720"/>
      </w:pPr>
    </w:p>
    <w:sectPr w:rsidR="00335363" w:rsidRPr="005002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16" w:rsidRDefault="00730616" w:rsidP="00500229">
      <w:r>
        <w:separator/>
      </w:r>
    </w:p>
  </w:endnote>
  <w:endnote w:type="continuationSeparator" w:id="0">
    <w:p w:rsidR="00730616" w:rsidRDefault="00730616" w:rsidP="0050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E5" w:rsidRDefault="00EA6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29" w:rsidRPr="00D77363" w:rsidRDefault="00500229">
    <w:pPr>
      <w:pStyle w:val="Footer"/>
      <w:rPr>
        <w:i/>
      </w:rPr>
    </w:pPr>
    <w:r w:rsidRPr="00D77363">
      <w:rPr>
        <w:i/>
      </w:rPr>
      <w:t>Platinum Title &amp; Escrow</w:t>
    </w:r>
    <w:r w:rsidR="00EA62E5">
      <w:rPr>
        <w:i/>
      </w:rPr>
      <w:t xml:space="preserve"> LLC</w:t>
    </w:r>
  </w:p>
  <w:p w:rsidR="00500229" w:rsidRPr="00D77363" w:rsidRDefault="00500229">
    <w:pPr>
      <w:pStyle w:val="Footer"/>
      <w:rPr>
        <w:i/>
      </w:rPr>
    </w:pPr>
    <w:r w:rsidRPr="00D77363">
      <w:rPr>
        <w:i/>
      </w:rPr>
      <w:t>1125 S. 103</w:t>
    </w:r>
    <w:r w:rsidRPr="00D77363">
      <w:rPr>
        <w:i/>
        <w:vertAlign w:val="superscript"/>
      </w:rPr>
      <w:t>rd</w:t>
    </w:r>
    <w:r w:rsidRPr="00D77363">
      <w:rPr>
        <w:i/>
      </w:rPr>
      <w:t xml:space="preserve"> Street Suite 415</w:t>
    </w:r>
  </w:p>
  <w:p w:rsidR="00500229" w:rsidRPr="00D77363" w:rsidRDefault="00500229">
    <w:pPr>
      <w:pStyle w:val="Footer"/>
      <w:rPr>
        <w:i/>
      </w:rPr>
    </w:pPr>
    <w:r w:rsidRPr="00D77363">
      <w:rPr>
        <w:i/>
      </w:rPr>
      <w:t>Omaha NE 68124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E5" w:rsidRDefault="00EA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16" w:rsidRDefault="00730616" w:rsidP="00500229">
      <w:r>
        <w:separator/>
      </w:r>
    </w:p>
  </w:footnote>
  <w:footnote w:type="continuationSeparator" w:id="0">
    <w:p w:rsidR="00730616" w:rsidRDefault="00730616" w:rsidP="00500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E5" w:rsidRDefault="00EA6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29" w:rsidRPr="00500229" w:rsidRDefault="00500229">
    <w:pPr>
      <w:pStyle w:val="Header"/>
      <w:rPr>
        <w:i/>
      </w:rPr>
    </w:pPr>
    <w:r w:rsidRPr="00500229">
      <w:rPr>
        <w:i/>
      </w:rPr>
      <w:t>Platinum Title &amp; Escrow LLC</w:t>
    </w:r>
  </w:p>
  <w:p w:rsidR="00500229" w:rsidRDefault="00500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E5" w:rsidRDefault="00EA6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F5459"/>
    <w:multiLevelType w:val="hybridMultilevel"/>
    <w:tmpl w:val="E54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29"/>
    <w:rsid w:val="001E41E8"/>
    <w:rsid w:val="002343A8"/>
    <w:rsid w:val="00335363"/>
    <w:rsid w:val="00500229"/>
    <w:rsid w:val="00715C74"/>
    <w:rsid w:val="00730616"/>
    <w:rsid w:val="007F79F5"/>
    <w:rsid w:val="00AE5C17"/>
    <w:rsid w:val="00B1299B"/>
    <w:rsid w:val="00D77363"/>
    <w:rsid w:val="00E900BA"/>
    <w:rsid w:val="00EA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9473E-6A89-41EE-9E6F-07CE0C96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2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0229"/>
    <w:pPr>
      <w:tabs>
        <w:tab w:val="center" w:pos="4680"/>
        <w:tab w:val="right" w:pos="9360"/>
      </w:tabs>
    </w:pPr>
  </w:style>
  <w:style w:type="character" w:customStyle="1" w:styleId="HeaderChar">
    <w:name w:val="Header Char"/>
    <w:basedOn w:val="DefaultParagraphFont"/>
    <w:link w:val="Header"/>
    <w:rsid w:val="00500229"/>
  </w:style>
  <w:style w:type="paragraph" w:styleId="Footer">
    <w:name w:val="footer"/>
    <w:basedOn w:val="Normal"/>
    <w:link w:val="FooterChar"/>
    <w:uiPriority w:val="99"/>
    <w:unhideWhenUsed/>
    <w:rsid w:val="00500229"/>
    <w:pPr>
      <w:tabs>
        <w:tab w:val="center" w:pos="4680"/>
        <w:tab w:val="right" w:pos="9360"/>
      </w:tabs>
    </w:pPr>
  </w:style>
  <w:style w:type="character" w:customStyle="1" w:styleId="FooterChar">
    <w:name w:val="Footer Char"/>
    <w:basedOn w:val="DefaultParagraphFont"/>
    <w:link w:val="Footer"/>
    <w:uiPriority w:val="99"/>
    <w:rsid w:val="00500229"/>
  </w:style>
  <w:style w:type="character" w:styleId="Hyperlink">
    <w:name w:val="Hyperlink"/>
    <w:basedOn w:val="DefaultParagraphFont"/>
    <w:rsid w:val="00500229"/>
    <w:rPr>
      <w:color w:val="0000FF"/>
      <w:u w:val="single"/>
    </w:rPr>
  </w:style>
  <w:style w:type="paragraph" w:styleId="NoSpacing">
    <w:name w:val="No Spacing"/>
    <w:uiPriority w:val="1"/>
    <w:qFormat/>
    <w:rsid w:val="0050022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00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2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web.legislature.ne.gov/laws/statutes.php?statute=44-199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C4E9-7EEF-4530-B887-8A2B5041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jmcdaniel</dc:creator>
  <cp:keywords/>
  <dc:description/>
  <cp:lastModifiedBy>jmcdaniel</cp:lastModifiedBy>
  <cp:revision>6</cp:revision>
  <cp:lastPrinted>2016-10-20T20:01:00Z</cp:lastPrinted>
  <dcterms:created xsi:type="dcterms:W3CDTF">2016-08-10T15:18:00Z</dcterms:created>
  <dcterms:modified xsi:type="dcterms:W3CDTF">2016-10-20T20:02:00Z</dcterms:modified>
</cp:coreProperties>
</file>